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47C" w:rsidRDefault="00C4247C" w:rsidP="00A7211F">
      <w:pPr>
        <w:jc w:val="both"/>
        <w:rPr>
          <w:rFonts w:ascii="Arial" w:hAnsi="Arial" w:cs="Arial"/>
          <w:color w:val="000000" w:themeColor="text1"/>
        </w:rPr>
      </w:pPr>
      <w:r>
        <w:rPr>
          <w:rFonts w:ascii="Arial" w:hAnsi="Arial" w:cs="Arial"/>
          <w:b/>
          <w:noProof/>
          <w:lang w:val="en-US" w:eastAsia="en-US"/>
        </w:rPr>
        <mc:AlternateContent>
          <mc:Choice Requires="wps">
            <w:drawing>
              <wp:anchor distT="0" distB="0" distL="114300" distR="114300" simplePos="0" relativeHeight="251660288" behindDoc="0" locked="0" layoutInCell="1" allowOverlap="1" wp14:anchorId="44643FF0" wp14:editId="54F5ACAF">
                <wp:simplePos x="0" y="0"/>
                <wp:positionH relativeFrom="column">
                  <wp:posOffset>5761355</wp:posOffset>
                </wp:positionH>
                <wp:positionV relativeFrom="paragraph">
                  <wp:posOffset>-505460</wp:posOffset>
                </wp:positionV>
                <wp:extent cx="321310" cy="240665"/>
                <wp:effectExtent l="0" t="0" r="21590" b="2603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406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EE0A39" id="Retângulo 3" o:spid="_x0000_s1026" style="position:absolute;margin-left:453.65pt;margin-top:-39.8pt;width:25.3pt;height:1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IUJAIAADwEAAAOAAAAZHJzL2Uyb0RvYy54bWysU12O0zAQfkfiDpbfaZr+sRs1Xa26FCEt&#10;sGLhAK7jJBaOx4zdpstx9ipcjLHTLV14QYg8WDOZ8eeZ75tZXh06w/YKvQZb8nw05kxZCZW2Tcm/&#10;fN68uuDMB2ErYcCqkj8oz69WL18se1eoCbRgKoWMQKwvelfyNgRXZJmXreqEH4FTloI1YCcCudhk&#10;FYqe0DuTTcbjRdYDVg5BKu/p780Q5KuEX9dKho917VVgpuRUW0gnpnMbz2y1FEWDwrVaHssQ/1BF&#10;J7SlR09QNyIItkP9B1SnJYKHOowkdBnUtZYq9UDd5OPfurlvhVOpFyLHuxNN/v/Byg/7O2S6KvmU&#10;Mys6kuiTCj8ebbMzwKaRn975gtLu3R3GDr27BfnVMwvrVthGXSNC3ypRUVV5zM+eXYiOp6ts27+H&#10;iuDFLkCi6lBjFwGJBHZIijycFFGHwCT9nE7yaU66SQpNZuPFYp5eEMXTZYc+vFXQsWiUHEnwBC72&#10;tz7EYkTxlJKKB6OrjTYmOdhs1wbZXtBwbNJ3RPfnacayvuSX88k8IT+L+b+D6HSgKTe6K/nFOH7x&#10;HVFE1t7YKtlBaDPYVLKxRxojc4MCW6geiEWEYYRp5choAb9z1tP4ltx/2wlUnJl3lpS4zGezOO/J&#10;mc1fT8jB88j2PCKsJKiSB84Gcx2GHdk51E1LL+WpdwvXpF6tE7NR2aGqY7E0oonw4zrFHTj3U9av&#10;pV/9BAAA//8DAFBLAwQUAAYACAAAACEAhi8XleAAAAALAQAADwAAAGRycy9kb3ducmV2LnhtbEyP&#10;TU/DMAyG70j8h8hI3LZ0MFZamk4wirhw2Afcvca0FYlTNdnW8esJJzjafvT6eYvlaI040uA7xwpm&#10;0wQEce10x42C993L5B6ED8gajWNScCYPy/LyosBcuxNv6LgNjYgh7HNU0IbQ51L6uiWLfup64nj7&#10;dIPFEMehkXrAUwy3Rt4kyUJa7Dh+aLGnVUv11/ZgFawRn9ffr3X9VJ3f5hWtPipyRqnrq/HxAUSg&#10;MfzB8Ksf1aGMTnt3YO2FUZAl6W1EFUzSbAEiEtldmoHYx818loIsC/m/Q/kDAAD//wMAUEsBAi0A&#10;FAAGAAgAAAAhALaDOJL+AAAA4QEAABMAAAAAAAAAAAAAAAAAAAAAAFtDb250ZW50X1R5cGVzXS54&#10;bWxQSwECLQAUAAYACAAAACEAOP0h/9YAAACUAQAACwAAAAAAAAAAAAAAAAAvAQAAX3JlbHMvLnJl&#10;bHNQSwECLQAUAAYACAAAACEABZ/iFCQCAAA8BAAADgAAAAAAAAAAAAAAAAAuAgAAZHJzL2Uyb0Rv&#10;Yy54bWxQSwECLQAUAAYACAAAACEAhi8XleAAAAALAQAADwAAAAAAAAAAAAAAAAB+BAAAZHJzL2Rv&#10;d25yZXYueG1sUEsFBgAAAAAEAAQA8wAAAIsFAAAAAA==&#10;" strokecolor="white"/>
            </w:pict>
          </mc:Fallback>
        </mc:AlternateContent>
      </w:r>
      <w:r>
        <w:rPr>
          <w:rFonts w:ascii="Arial" w:hAnsi="Arial" w:cs="Arial"/>
          <w:b/>
          <w:noProof/>
          <w:lang w:val="en-US" w:eastAsia="en-US"/>
        </w:rPr>
        <mc:AlternateContent>
          <mc:Choice Requires="wps">
            <w:drawing>
              <wp:anchor distT="0" distB="0" distL="114300" distR="114300" simplePos="0" relativeHeight="251659264" behindDoc="0" locked="0" layoutInCell="1" allowOverlap="1" wp14:anchorId="6FEE8EE3" wp14:editId="2DEC8816">
                <wp:simplePos x="0" y="0"/>
                <wp:positionH relativeFrom="column">
                  <wp:posOffset>5608955</wp:posOffset>
                </wp:positionH>
                <wp:positionV relativeFrom="paragraph">
                  <wp:posOffset>-657860</wp:posOffset>
                </wp:positionV>
                <wp:extent cx="321310" cy="240665"/>
                <wp:effectExtent l="0" t="0" r="21590" b="2603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24066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10D02" id="Retângulo 2" o:spid="_x0000_s1026" style="position:absolute;margin-left:441.65pt;margin-top:-51.8pt;width:25.3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1AaJAIAADwEAAAOAAAAZHJzL2Uyb0RvYy54bWysU+Fu0zAQ/o/EO1j+z9JkbdmiptPUMYQ0&#10;YGLwAK7jJBaOz5zdpuVx9iq8GGenKx38QYj8sO5y589333e3uNr1hm0Veg224vnZhDNlJdTathX/&#10;8vn21QVnPghbCwNWVXyvPL9avnyxGFypCujA1AoZgVhfDq7iXQiuzDIvO9ULfwZOWQo2gL0I5GKb&#10;1SgGQu9NVkwm82wArB2CVN7T35sxyJcJv2mUDB+bxqvATMWptpBOTOc6ntlyIcoWheu0PJQh/qGK&#10;XmhLjx6hbkQQbIP6D6heSwQPTTiT0GfQNFqq1AN1k09+6+ahE06lXogc7440+f8HKz9s75HpuuIF&#10;Z1b0JNEnFX482nZjgBWRn8H5ktIe3D3GDr27A/nVMwurTthWXSPC0ClRU1V5zM+eXYiOp6tsPbyH&#10;muDFJkCiatdgHwGJBLZLiuyPiqhdYJJ+nhf5eU66SQoV08l8PksviPLpskMf3iroWTQqjiR4Ahfb&#10;Ox9iMaJ8SknFg9H1rTYmOdiuVwbZVtBw3KbvgO5P04xlQ8UvZ8UsIT+L+b+D6HWgKTe6r/jFJH7x&#10;HVFG1t7YOtlBaDPaVLKxBxojc6MCa6j3xCLCOMK0cmR0gN85G2h8K+6/bQQqzsw7S0pc5tNpnPfk&#10;TGevC3LwNLI+jQgrCarigbPRXIVxRzYOddvRS3nq3cI1qdfoxGxUdqzqUCyNaCL8sE5xB079lPVr&#10;6Zc/AQAA//8DAFBLAwQUAAYACAAAACEAUK+UVeEAAAAMAQAADwAAAGRycy9kb3ducmV2LnhtbEyP&#10;y07DMBBF90j8gzVI7FqnGEIa4lRQgtiwKAX2U3tIIvyIYrdN+XrMCpYzc3Tn3Go1WcMONIbeOwmL&#10;eQaMnPK6d62E97enWQEsRHQajXck4UQBVvX5WYWl9kf3SodtbFkKcaFECV2MQ8l5UB1ZDHM/kEu3&#10;Tz9ajGkcW65HPKZwa/hVluXcYu/Shw4HWnekvrZ7K2GD+Lj5flbqoTm9XDe0/mjIGykvL6b7O2CR&#10;pvgHw69+Uoc6Oe383unAjISiECKhEmaLTOTAErIUYglsl1b5zS3wuuL/S9Q/AAAA//8DAFBLAQIt&#10;ABQABgAIAAAAIQC2gziS/gAAAOEBAAATAAAAAAAAAAAAAAAAAAAAAABbQ29udGVudF9UeXBlc10u&#10;eG1sUEsBAi0AFAAGAAgAAAAhADj9If/WAAAAlAEAAAsAAAAAAAAAAAAAAAAALwEAAF9yZWxzLy5y&#10;ZWxzUEsBAi0AFAAGAAgAAAAhAAyvUBokAgAAPAQAAA4AAAAAAAAAAAAAAAAALgIAAGRycy9lMm9E&#10;b2MueG1sUEsBAi0AFAAGAAgAAAAhAFCvlFXhAAAADAEAAA8AAAAAAAAAAAAAAAAAfgQAAGRycy9k&#10;b3ducmV2LnhtbFBLBQYAAAAABAAEAPMAAACMBQAAAAA=&#10;" strokecolor="white"/>
            </w:pict>
          </mc:Fallback>
        </mc:AlternateContent>
      </w:r>
      <w:r>
        <w:rPr>
          <w:rFonts w:ascii="Arial" w:hAnsi="Arial" w:cs="Arial"/>
          <w:b/>
        </w:rPr>
        <w:t xml:space="preserve">RESUMO: </w:t>
      </w:r>
      <w:r w:rsidR="00A7211F" w:rsidRPr="00A7211F">
        <w:rPr>
          <w:rFonts w:ascii="Arial" w:hAnsi="Arial" w:cs="Arial"/>
          <w:color w:val="000000" w:themeColor="text1"/>
        </w:rPr>
        <w:t>Dentre as alterações patológicas que podem provocar mudanças visuais e refrativas, pode-se citar o pterígio.</w:t>
      </w:r>
      <w:r w:rsidR="00A7211F">
        <w:rPr>
          <w:rFonts w:ascii="Arial" w:hAnsi="Arial" w:cs="Arial"/>
          <w:color w:val="000000" w:themeColor="text1"/>
        </w:rPr>
        <w:t xml:space="preserve"> </w:t>
      </w:r>
      <w:r w:rsidR="00A7211F">
        <w:rPr>
          <w:rFonts w:ascii="Arial" w:hAnsi="Arial" w:cs="Arial"/>
          <w:color w:val="000000"/>
        </w:rPr>
        <w:t>É</w:t>
      </w:r>
      <w:r w:rsidR="00A7211F" w:rsidRPr="00A7211F">
        <w:rPr>
          <w:rFonts w:ascii="Arial" w:hAnsi="Arial" w:cs="Arial"/>
          <w:color w:val="000000"/>
        </w:rPr>
        <w:t xml:space="preserve"> uma patologia do segmento anterior do olho, que se caracteriza pelo crescimento do tecido c</w:t>
      </w:r>
      <w:r w:rsidR="00A7211F">
        <w:rPr>
          <w:rFonts w:ascii="Arial" w:hAnsi="Arial" w:cs="Arial"/>
          <w:color w:val="000000"/>
        </w:rPr>
        <w:t>onectivo da conjuntiva bulbar</w:t>
      </w:r>
      <w:r w:rsidR="00A7211F">
        <w:rPr>
          <w:rFonts w:ascii="Arial" w:hAnsi="Arial" w:cs="Arial"/>
          <w:color w:val="000000" w:themeColor="text1"/>
        </w:rPr>
        <w:t xml:space="preserve">. </w:t>
      </w:r>
      <w:r w:rsidRPr="0053188C">
        <w:rPr>
          <w:rFonts w:ascii="Arial" w:hAnsi="Arial" w:cs="Arial"/>
          <w:color w:val="000000" w:themeColor="text1"/>
        </w:rPr>
        <w:t>O</w:t>
      </w:r>
      <w:r w:rsidRPr="009B7F1F">
        <w:rPr>
          <w:rFonts w:ascii="Arial" w:hAnsi="Arial" w:cs="Arial"/>
          <w:b/>
          <w:color w:val="000000" w:themeColor="text1"/>
        </w:rPr>
        <w:t xml:space="preserve"> </w:t>
      </w:r>
      <w:r w:rsidRPr="00DE7C67">
        <w:rPr>
          <w:rFonts w:ascii="Arial" w:hAnsi="Arial" w:cs="Arial"/>
        </w:rPr>
        <w:t>objetivo</w:t>
      </w:r>
      <w:r w:rsidRPr="00DE7C67">
        <w:rPr>
          <w:rFonts w:ascii="Arial" w:hAnsi="Arial" w:cs="Arial"/>
          <w:b/>
        </w:rPr>
        <w:t xml:space="preserve"> </w:t>
      </w:r>
      <w:r w:rsidR="00005E7F" w:rsidRPr="00DE7C67">
        <w:rPr>
          <w:rFonts w:ascii="Arial" w:hAnsi="Arial" w:cs="Arial"/>
        </w:rPr>
        <w:t xml:space="preserve">do presente </w:t>
      </w:r>
      <w:r w:rsidRPr="00892984">
        <w:rPr>
          <w:rFonts w:ascii="Arial" w:hAnsi="Arial" w:cs="Arial"/>
          <w:color w:val="000000" w:themeColor="text1"/>
        </w:rPr>
        <w:t xml:space="preserve">estudo consistiu </w:t>
      </w:r>
      <w:r w:rsidRPr="00892984">
        <w:rPr>
          <w:rFonts w:ascii="Arial" w:hAnsi="Arial" w:cs="Arial"/>
          <w:bCs/>
          <w:color w:val="000000" w:themeColor="text1"/>
        </w:rPr>
        <w:t>em verificar se existem mudanças refrativas em pacientes submetidos à cirurgia de pterígio</w:t>
      </w:r>
      <w:r w:rsidRPr="00892984">
        <w:rPr>
          <w:rFonts w:ascii="Arial" w:hAnsi="Arial" w:cs="Arial"/>
          <w:color w:val="000000" w:themeColor="text1"/>
        </w:rPr>
        <w:t xml:space="preserve"> pela técnica de transplante conjuntival</w:t>
      </w:r>
      <w:r w:rsidRPr="00892984">
        <w:rPr>
          <w:rFonts w:ascii="Arial" w:hAnsi="Arial" w:cs="Arial"/>
          <w:iCs/>
          <w:color w:val="000000" w:themeColor="text1"/>
        </w:rPr>
        <w:t>.</w:t>
      </w:r>
      <w:r w:rsidR="00280307">
        <w:rPr>
          <w:rFonts w:ascii="Arial" w:hAnsi="Arial" w:cs="Arial"/>
          <w:iCs/>
          <w:color w:val="000000" w:themeColor="text1"/>
        </w:rPr>
        <w:t xml:space="preserve"> </w:t>
      </w:r>
      <w:r w:rsidR="00280307" w:rsidRPr="00FC74B2">
        <w:rPr>
          <w:rFonts w:ascii="Arial" w:hAnsi="Arial" w:cs="Arial"/>
          <w:color w:val="000000" w:themeColor="text1"/>
        </w:rPr>
        <w:t>Realizou-se um estudo do tipo explorató</w:t>
      </w:r>
      <w:r w:rsidR="00280307">
        <w:rPr>
          <w:rFonts w:ascii="Arial" w:hAnsi="Arial" w:cs="Arial"/>
          <w:color w:val="000000" w:themeColor="text1"/>
        </w:rPr>
        <w:t xml:space="preserve">rio-descritivo e retrospectivo. </w:t>
      </w:r>
      <w:r w:rsidR="00E12EA1">
        <w:rPr>
          <w:rFonts w:ascii="Arial" w:hAnsi="Arial" w:cs="Arial"/>
          <w:color w:val="000000" w:themeColor="text1"/>
        </w:rPr>
        <w:t xml:space="preserve">Para coleta de dados </w:t>
      </w:r>
      <w:r w:rsidR="00832836">
        <w:rPr>
          <w:rFonts w:ascii="Arial" w:hAnsi="Arial" w:cs="Arial"/>
          <w:color w:val="000000" w:themeColor="text1"/>
        </w:rPr>
        <w:t xml:space="preserve">foi feito uma revisão de prontuários de 25 </w:t>
      </w:r>
      <w:r w:rsidRPr="00892984">
        <w:rPr>
          <w:rFonts w:ascii="Arial" w:hAnsi="Arial" w:cs="Arial"/>
          <w:color w:val="000000" w:themeColor="text1"/>
        </w:rPr>
        <w:t>pacientes submetidos à cirurgia de pterígio pela técnica de transplante conjuntival, na Clínica Dr. Canto, na cidade de Curitiba, no estado do Paraná</w:t>
      </w:r>
      <w:r w:rsidR="0053188C">
        <w:rPr>
          <w:rFonts w:ascii="Arial" w:hAnsi="Arial" w:cs="Arial"/>
          <w:color w:val="000000" w:themeColor="text1"/>
        </w:rPr>
        <w:t xml:space="preserve">, </w:t>
      </w:r>
      <w:r w:rsidR="0053188C" w:rsidRPr="00FC74B2">
        <w:rPr>
          <w:rFonts w:ascii="Arial" w:hAnsi="Arial" w:cs="Arial"/>
          <w:color w:val="000000" w:themeColor="text1"/>
        </w:rPr>
        <w:t>no período de novembro de 2013 até junho</w:t>
      </w:r>
      <w:r w:rsidR="0053188C">
        <w:rPr>
          <w:rFonts w:ascii="Arial" w:hAnsi="Arial" w:cs="Arial"/>
          <w:color w:val="000000" w:themeColor="text1"/>
        </w:rPr>
        <w:t xml:space="preserve"> de 2014</w:t>
      </w:r>
      <w:r w:rsidRPr="00892984">
        <w:rPr>
          <w:rFonts w:ascii="Arial" w:hAnsi="Arial" w:cs="Arial"/>
          <w:color w:val="000000" w:themeColor="text1"/>
        </w:rPr>
        <w:t xml:space="preserve">. </w:t>
      </w:r>
      <w:r w:rsidR="00832836">
        <w:rPr>
          <w:rFonts w:ascii="Arial" w:hAnsi="Arial" w:cs="Arial"/>
          <w:color w:val="000000" w:themeColor="text1"/>
        </w:rPr>
        <w:t xml:space="preserve">As variáveis clínicas analisadas foram </w:t>
      </w:r>
      <w:proofErr w:type="spellStart"/>
      <w:r w:rsidR="00832836">
        <w:rPr>
          <w:rFonts w:ascii="Arial" w:hAnsi="Arial" w:cs="Arial"/>
          <w:color w:val="000000" w:themeColor="text1"/>
        </w:rPr>
        <w:t>ceratometria</w:t>
      </w:r>
      <w:proofErr w:type="spellEnd"/>
      <w:r w:rsidR="00832836">
        <w:rPr>
          <w:rFonts w:ascii="Arial" w:hAnsi="Arial" w:cs="Arial"/>
          <w:color w:val="000000" w:themeColor="text1"/>
        </w:rPr>
        <w:t xml:space="preserve"> (meridiano mais plano, meridiano mais curvo e eixo) e refração (esfera, cilindro</w:t>
      </w:r>
      <w:r w:rsidR="00A7211F">
        <w:rPr>
          <w:rFonts w:ascii="Arial" w:hAnsi="Arial" w:cs="Arial"/>
          <w:color w:val="000000" w:themeColor="text1"/>
        </w:rPr>
        <w:t xml:space="preserve"> e eixo). </w:t>
      </w:r>
      <w:r w:rsidR="007850ED">
        <w:rPr>
          <w:rFonts w:ascii="Arial" w:hAnsi="Arial" w:cs="Arial"/>
          <w:color w:val="000000" w:themeColor="text1"/>
        </w:rPr>
        <w:t>Houve</w:t>
      </w:r>
      <w:r w:rsidR="007850ED" w:rsidRPr="00FC74B2">
        <w:rPr>
          <w:rFonts w:ascii="Arial" w:hAnsi="Arial" w:cs="Arial"/>
          <w:color w:val="000000" w:themeColor="text1"/>
          <w:lang w:eastAsia="ar-SA"/>
        </w:rPr>
        <w:t xml:space="preserve"> um encurvamento de aproximadamente 0,75D para meridiano mais plano e de 0,25D para o meridiano mais curvo e uma redução de aproximadamente 0,61D no astigmat</w:t>
      </w:r>
      <w:r w:rsidR="007850ED">
        <w:rPr>
          <w:rFonts w:ascii="Arial" w:hAnsi="Arial" w:cs="Arial"/>
          <w:color w:val="000000" w:themeColor="text1"/>
          <w:lang w:eastAsia="ar-SA"/>
        </w:rPr>
        <w:t xml:space="preserve">ismo </w:t>
      </w:r>
      <w:proofErr w:type="spellStart"/>
      <w:r w:rsidR="007850ED">
        <w:rPr>
          <w:rFonts w:ascii="Arial" w:hAnsi="Arial" w:cs="Arial"/>
          <w:color w:val="000000" w:themeColor="text1"/>
          <w:lang w:eastAsia="ar-SA"/>
        </w:rPr>
        <w:t>corneal</w:t>
      </w:r>
      <w:proofErr w:type="spellEnd"/>
      <w:r w:rsidR="007850ED">
        <w:rPr>
          <w:rFonts w:ascii="Arial" w:hAnsi="Arial" w:cs="Arial"/>
          <w:color w:val="000000" w:themeColor="text1"/>
        </w:rPr>
        <w:t>.</w:t>
      </w:r>
      <w:r w:rsidR="007850ED" w:rsidRPr="00FC74B2">
        <w:rPr>
          <w:rFonts w:ascii="Arial" w:hAnsi="Arial" w:cs="Arial"/>
          <w:color w:val="000000" w:themeColor="text1"/>
          <w:lang w:eastAsia="ar-SA"/>
        </w:rPr>
        <w:t xml:space="preserve"> Em relação a </w:t>
      </w:r>
      <w:r w:rsidR="007850ED">
        <w:rPr>
          <w:rFonts w:ascii="Arial" w:hAnsi="Arial" w:cs="Arial"/>
          <w:color w:val="000000" w:themeColor="text1"/>
          <w:lang w:eastAsia="ar-SA"/>
        </w:rPr>
        <w:t xml:space="preserve">refração, </w:t>
      </w:r>
      <w:r w:rsidR="007850ED" w:rsidRPr="00FC74B2">
        <w:rPr>
          <w:rFonts w:ascii="Arial" w:hAnsi="Arial" w:cs="Arial"/>
          <w:color w:val="000000" w:themeColor="text1"/>
          <w:lang w:eastAsia="ar-SA"/>
        </w:rPr>
        <w:t>para a variável esfera e cilindro houve uma redução de 0,85D</w:t>
      </w:r>
      <w:r w:rsidR="007850ED">
        <w:rPr>
          <w:rFonts w:ascii="Arial" w:hAnsi="Arial" w:cs="Arial"/>
          <w:color w:val="000000" w:themeColor="text1"/>
        </w:rPr>
        <w:t>. Assim, a</w:t>
      </w:r>
      <w:r w:rsidRPr="00892984">
        <w:rPr>
          <w:rFonts w:ascii="Arial" w:hAnsi="Arial" w:cs="Arial"/>
          <w:color w:val="000000" w:themeColor="text1"/>
        </w:rPr>
        <w:t xml:space="preserve">pós análise dos resultados </w:t>
      </w:r>
      <w:r w:rsidRPr="0053188C">
        <w:rPr>
          <w:rFonts w:ascii="Arial" w:hAnsi="Arial" w:cs="Arial"/>
          <w:color w:val="000000" w:themeColor="text1"/>
        </w:rPr>
        <w:t>concluiu-se</w:t>
      </w:r>
      <w:r w:rsidRPr="009B7F1F">
        <w:rPr>
          <w:rFonts w:ascii="Arial" w:hAnsi="Arial" w:cs="Arial"/>
          <w:b/>
          <w:color w:val="000000" w:themeColor="text1"/>
        </w:rPr>
        <w:t xml:space="preserve"> </w:t>
      </w:r>
      <w:r w:rsidR="0053188C">
        <w:rPr>
          <w:rFonts w:ascii="Arial" w:hAnsi="Arial" w:cs="Arial"/>
          <w:color w:val="000000" w:themeColor="text1"/>
        </w:rPr>
        <w:t>que</w:t>
      </w:r>
      <w:r w:rsidRPr="00892984">
        <w:rPr>
          <w:rFonts w:ascii="Arial" w:hAnsi="Arial" w:cs="Arial"/>
          <w:color w:val="000000" w:themeColor="text1"/>
        </w:rPr>
        <w:t xml:space="preserve"> a cirurgia de pterígio pela técnica de transplante conjuntival</w:t>
      </w:r>
      <w:r w:rsidR="00E12EA1">
        <w:rPr>
          <w:rFonts w:ascii="Arial" w:hAnsi="Arial" w:cs="Arial"/>
          <w:color w:val="000000" w:themeColor="text1"/>
        </w:rPr>
        <w:t xml:space="preserve"> produz mudanças refrativas</w:t>
      </w:r>
      <w:r w:rsidR="00832836">
        <w:rPr>
          <w:rFonts w:ascii="Arial" w:hAnsi="Arial" w:cs="Arial"/>
          <w:color w:val="000000" w:themeColor="text1"/>
        </w:rPr>
        <w:t xml:space="preserve"> como já era esperado</w:t>
      </w:r>
      <w:r w:rsidR="00E12EA1">
        <w:rPr>
          <w:rFonts w:ascii="Arial" w:hAnsi="Arial" w:cs="Arial"/>
          <w:color w:val="000000" w:themeColor="text1"/>
        </w:rPr>
        <w:t xml:space="preserve">, porém estás </w:t>
      </w:r>
      <w:r w:rsidR="00832836">
        <w:rPr>
          <w:rFonts w:ascii="Arial" w:hAnsi="Arial" w:cs="Arial"/>
          <w:color w:val="000000" w:themeColor="text1"/>
        </w:rPr>
        <w:t>mudança</w:t>
      </w:r>
      <w:bookmarkStart w:id="0" w:name="_GoBack"/>
      <w:bookmarkEnd w:id="0"/>
      <w:r w:rsidR="00832836">
        <w:rPr>
          <w:rFonts w:ascii="Arial" w:hAnsi="Arial" w:cs="Arial"/>
          <w:color w:val="000000" w:themeColor="text1"/>
        </w:rPr>
        <w:t xml:space="preserve">s </w:t>
      </w:r>
      <w:r w:rsidR="00E12EA1">
        <w:rPr>
          <w:rFonts w:ascii="Arial" w:hAnsi="Arial" w:cs="Arial"/>
          <w:color w:val="000000" w:themeColor="text1"/>
        </w:rPr>
        <w:t>não afetam a visão do paciente</w:t>
      </w:r>
      <w:r w:rsidRPr="00892984">
        <w:rPr>
          <w:rFonts w:ascii="Arial" w:hAnsi="Arial" w:cs="Arial"/>
          <w:color w:val="000000" w:themeColor="text1"/>
        </w:rPr>
        <w:t>.</w:t>
      </w:r>
    </w:p>
    <w:p w:rsidR="00C4247C" w:rsidRDefault="00C4247C" w:rsidP="00A7211F">
      <w:pPr>
        <w:jc w:val="both"/>
        <w:rPr>
          <w:rFonts w:ascii="Arial" w:hAnsi="Arial" w:cs="Arial"/>
          <w:color w:val="000000" w:themeColor="text1"/>
        </w:rPr>
      </w:pPr>
    </w:p>
    <w:p w:rsidR="00C4247C" w:rsidRPr="00892984" w:rsidRDefault="00C4247C" w:rsidP="00A7211F">
      <w:pPr>
        <w:jc w:val="both"/>
        <w:rPr>
          <w:rFonts w:ascii="Arial" w:hAnsi="Arial" w:cs="Arial"/>
          <w:bCs/>
        </w:rPr>
      </w:pPr>
      <w:r w:rsidRPr="00892984">
        <w:rPr>
          <w:rFonts w:ascii="Arial" w:hAnsi="Arial" w:cs="Arial"/>
          <w:b/>
          <w:bCs/>
        </w:rPr>
        <w:t>Palavras Chaves</w:t>
      </w:r>
      <w:r w:rsidRPr="00892984">
        <w:rPr>
          <w:rFonts w:ascii="Arial" w:hAnsi="Arial" w:cs="Arial"/>
          <w:bCs/>
        </w:rPr>
        <w:t>: p</w:t>
      </w:r>
      <w:r w:rsidR="003D57AE">
        <w:rPr>
          <w:rFonts w:ascii="Arial" w:hAnsi="Arial" w:cs="Arial"/>
          <w:bCs/>
        </w:rPr>
        <w:t>terígio; cirurgia; mudanças refrativas</w:t>
      </w:r>
      <w:r w:rsidRPr="00892984">
        <w:rPr>
          <w:rFonts w:ascii="Arial" w:hAnsi="Arial" w:cs="Arial"/>
          <w:bCs/>
        </w:rPr>
        <w:t xml:space="preserve">. </w:t>
      </w:r>
    </w:p>
    <w:p w:rsidR="00C4247C" w:rsidRDefault="00C4247C" w:rsidP="00C4247C">
      <w:pPr>
        <w:spacing w:line="360" w:lineRule="auto"/>
        <w:jc w:val="both"/>
        <w:rPr>
          <w:rFonts w:ascii="Arial" w:hAnsi="Arial" w:cs="Arial"/>
          <w:color w:val="000000" w:themeColor="text1"/>
        </w:rPr>
      </w:pPr>
    </w:p>
    <w:p w:rsidR="00C4247C" w:rsidRDefault="00C4247C" w:rsidP="00C4247C">
      <w:pPr>
        <w:spacing w:line="360" w:lineRule="auto"/>
        <w:jc w:val="both"/>
        <w:rPr>
          <w:rFonts w:ascii="Arial" w:hAnsi="Arial" w:cs="Arial"/>
          <w:b/>
        </w:rPr>
      </w:pPr>
    </w:p>
    <w:p w:rsidR="00033858" w:rsidRDefault="00033858" w:rsidP="00C4247C">
      <w:pPr>
        <w:spacing w:line="360" w:lineRule="auto"/>
        <w:jc w:val="both"/>
        <w:rPr>
          <w:rFonts w:ascii="Arial" w:hAnsi="Arial" w:cs="Arial"/>
          <w:b/>
        </w:rPr>
      </w:pPr>
    </w:p>
    <w:p w:rsidR="00033858" w:rsidRDefault="00033858" w:rsidP="00C4247C">
      <w:pPr>
        <w:spacing w:line="360" w:lineRule="auto"/>
        <w:jc w:val="both"/>
        <w:rPr>
          <w:rFonts w:ascii="Arial" w:hAnsi="Arial" w:cs="Arial"/>
          <w:b/>
        </w:rPr>
      </w:pPr>
      <w:r w:rsidRPr="00033858">
        <w:rPr>
          <w:rFonts w:ascii="Arial" w:hAnsi="Arial" w:cs="Arial"/>
          <w:b/>
          <w:lang w:val="en-US"/>
        </w:rPr>
        <w:t>Abstract</w:t>
      </w:r>
      <w:r>
        <w:rPr>
          <w:rFonts w:ascii="Arial" w:hAnsi="Arial" w:cs="Arial"/>
          <w:b/>
        </w:rPr>
        <w:t>:</w:t>
      </w:r>
    </w:p>
    <w:p w:rsidR="00C4247C" w:rsidRPr="00033858" w:rsidRDefault="00033858" w:rsidP="00033858">
      <w:pPr>
        <w:jc w:val="both"/>
        <w:rPr>
          <w:rFonts w:ascii="Arial" w:hAnsi="Arial" w:cs="Arial"/>
          <w:lang w:val="en-US"/>
        </w:rPr>
      </w:pPr>
      <w:r w:rsidRPr="00033858">
        <w:rPr>
          <w:rFonts w:ascii="Arial" w:hAnsi="Arial" w:cs="Arial"/>
          <w:lang w:val="en-US"/>
        </w:rPr>
        <w:t>Among the pathological alterations that can cause visual and refractive changes, one can cite the pterygium. It is a pathology of the anterior segment of the eye, characterized by the growth of connective tissue of the conjunctiva bulbar.</w:t>
      </w:r>
      <w:r w:rsidR="00D221DD">
        <w:rPr>
          <w:rFonts w:ascii="Arial" w:hAnsi="Arial" w:cs="Arial"/>
          <w:lang w:val="en-US"/>
        </w:rPr>
        <w:t xml:space="preserve"> </w:t>
      </w:r>
      <w:r w:rsidRPr="00033858">
        <w:rPr>
          <w:rFonts w:ascii="Arial" w:hAnsi="Arial" w:cs="Arial"/>
          <w:lang w:val="en-US"/>
        </w:rPr>
        <w:t>The objective of the present study was to verify if there are refractive changes in patients undergoing pterygium surgery using the conjunctival transplant technique. An exploratory-descriptive and retrospective study was carried out. To collect data, a review of medical records of 25 patients submitted to pterygium surgery by the conjunctival transplant technique was performed at the Dr. Canto Clinic in the city of Curitiba, in the state of Paraná, from November 2013 to June 2014</w:t>
      </w:r>
      <w:r>
        <w:rPr>
          <w:rFonts w:ascii="Arial" w:hAnsi="Arial" w:cs="Arial"/>
          <w:lang w:val="en-US"/>
        </w:rPr>
        <w:t xml:space="preserve">. </w:t>
      </w:r>
      <w:r w:rsidRPr="00033858">
        <w:rPr>
          <w:rFonts w:ascii="Arial" w:hAnsi="Arial" w:cs="Arial"/>
          <w:lang w:val="en-US"/>
        </w:rPr>
        <w:t xml:space="preserve">The clinical variables analyzed were </w:t>
      </w:r>
      <w:proofErr w:type="spellStart"/>
      <w:r w:rsidRPr="00033858">
        <w:rPr>
          <w:rFonts w:ascii="Arial" w:hAnsi="Arial" w:cs="Arial"/>
          <w:lang w:val="en-US"/>
        </w:rPr>
        <w:t>keratometry</w:t>
      </w:r>
      <w:proofErr w:type="spellEnd"/>
      <w:r w:rsidRPr="00033858">
        <w:rPr>
          <w:rFonts w:ascii="Arial" w:hAnsi="Arial" w:cs="Arial"/>
          <w:lang w:val="en-US"/>
        </w:rPr>
        <w:t xml:space="preserve"> (flatter meridian, more curved meridian and axis) and refraction (sphere, cylinder and axis). There was a curvature of approximately 0.75D for the flatter meridian and 0.25D for the more curved meridian and a reduction of approximately 0.61D in corneal astigmatism. In relation to the refraction, for the variable sphere and cylinder there was a reduction of 0.85D. Thus, after analysis of the results it was concluded that pterygium surgery by the conjunctival transplant technique produces refractive changes as expected, but these changes do not affect the patient's vision.</w:t>
      </w:r>
    </w:p>
    <w:p w:rsidR="00033858" w:rsidRDefault="00033858" w:rsidP="000338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color w:val="212121"/>
          <w:lang w:val="en" w:eastAsia="en-US"/>
        </w:rPr>
      </w:pPr>
    </w:p>
    <w:p w:rsidR="00033858" w:rsidRPr="00033858" w:rsidRDefault="00033858" w:rsidP="000338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212121"/>
          <w:lang w:val="en-US" w:eastAsia="en-US"/>
        </w:rPr>
      </w:pPr>
      <w:r>
        <w:rPr>
          <w:rFonts w:ascii="Arial" w:hAnsi="Arial" w:cs="Arial"/>
          <w:b/>
          <w:color w:val="212121"/>
          <w:lang w:val="en" w:eastAsia="en-US"/>
        </w:rPr>
        <w:t>Key W</w:t>
      </w:r>
      <w:r w:rsidRPr="00033858">
        <w:rPr>
          <w:rFonts w:ascii="Arial" w:hAnsi="Arial" w:cs="Arial"/>
          <w:b/>
          <w:color w:val="212121"/>
          <w:lang w:val="en" w:eastAsia="en-US"/>
        </w:rPr>
        <w:t>ords</w:t>
      </w:r>
      <w:r w:rsidRPr="00033858">
        <w:rPr>
          <w:rFonts w:ascii="Arial" w:hAnsi="Arial" w:cs="Arial"/>
          <w:color w:val="212121"/>
          <w:lang w:val="en" w:eastAsia="en-US"/>
        </w:rPr>
        <w:t>: pterygium; surgery; Refractive changes.</w:t>
      </w:r>
    </w:p>
    <w:p w:rsidR="00C4247C" w:rsidRPr="00033858" w:rsidRDefault="00C4247C" w:rsidP="006838E3">
      <w:pPr>
        <w:spacing w:line="480" w:lineRule="auto"/>
        <w:jc w:val="both"/>
        <w:rPr>
          <w:rFonts w:ascii="Arial" w:hAnsi="Arial" w:cs="Arial"/>
          <w:lang w:val="en-US"/>
        </w:rPr>
      </w:pPr>
    </w:p>
    <w:p w:rsidR="00C4247C" w:rsidRPr="00033858" w:rsidRDefault="00C4247C" w:rsidP="006838E3">
      <w:pPr>
        <w:spacing w:line="480" w:lineRule="auto"/>
        <w:jc w:val="both"/>
        <w:rPr>
          <w:rFonts w:ascii="Arial" w:hAnsi="Arial" w:cs="Arial"/>
          <w:b/>
          <w:lang w:val="en-US"/>
        </w:rPr>
      </w:pPr>
    </w:p>
    <w:p w:rsidR="00F66030" w:rsidRPr="00033858" w:rsidRDefault="00F66030" w:rsidP="006838E3">
      <w:pPr>
        <w:spacing w:line="480" w:lineRule="auto"/>
        <w:jc w:val="both"/>
        <w:rPr>
          <w:lang w:val="en-US"/>
        </w:rPr>
      </w:pPr>
    </w:p>
    <w:sectPr w:rsidR="00F66030" w:rsidRPr="000338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C8"/>
    <w:rsid w:val="00005E7F"/>
    <w:rsid w:val="00033858"/>
    <w:rsid w:val="000955C8"/>
    <w:rsid w:val="0010069D"/>
    <w:rsid w:val="0018259E"/>
    <w:rsid w:val="00280307"/>
    <w:rsid w:val="002D0825"/>
    <w:rsid w:val="003D57AE"/>
    <w:rsid w:val="004A3D81"/>
    <w:rsid w:val="0053188C"/>
    <w:rsid w:val="005D679B"/>
    <w:rsid w:val="006838E3"/>
    <w:rsid w:val="007323C3"/>
    <w:rsid w:val="007850ED"/>
    <w:rsid w:val="007E0BCA"/>
    <w:rsid w:val="00832836"/>
    <w:rsid w:val="00A7211F"/>
    <w:rsid w:val="00AA0B2E"/>
    <w:rsid w:val="00AB5206"/>
    <w:rsid w:val="00BA3BD5"/>
    <w:rsid w:val="00C14D08"/>
    <w:rsid w:val="00C3292B"/>
    <w:rsid w:val="00C4247C"/>
    <w:rsid w:val="00C51799"/>
    <w:rsid w:val="00D221DD"/>
    <w:rsid w:val="00D9367C"/>
    <w:rsid w:val="00DE7C67"/>
    <w:rsid w:val="00E12EA1"/>
    <w:rsid w:val="00E83840"/>
    <w:rsid w:val="00F66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B52BC-07AE-4769-880B-BDB2587D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5C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033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Pr-formataoHTMLChar">
    <w:name w:val="Pré-formatação HTML Char"/>
    <w:basedOn w:val="Fontepargpadro"/>
    <w:link w:val="Pr-formataoHTML"/>
    <w:uiPriority w:val="99"/>
    <w:semiHidden/>
    <w:rsid w:val="00033858"/>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198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mazuze</cp:lastModifiedBy>
  <cp:revision>2</cp:revision>
  <dcterms:created xsi:type="dcterms:W3CDTF">2017-05-20T11:32:00Z</dcterms:created>
  <dcterms:modified xsi:type="dcterms:W3CDTF">2017-05-20T11:32:00Z</dcterms:modified>
</cp:coreProperties>
</file>